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jc w:val="center"/>
        <w:rPr>
          <w:b/>
          <w:bCs/>
          <w:sz w:val="24"/>
          <w:szCs w:val="24"/>
        </w:rPr>
      </w:pPr>
      <w:r w:rsidRPr="00276D6C">
        <w:rPr>
          <w:b/>
          <w:bCs/>
          <w:sz w:val="24"/>
          <w:szCs w:val="24"/>
        </w:rPr>
        <w:t>EDITAL</w:t>
      </w: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Pr="00276D6C" w:rsidRDefault="00760459" w:rsidP="009200C8">
      <w:pPr>
        <w:autoSpaceDE w:val="0"/>
        <w:autoSpaceDN w:val="0"/>
        <w:adjustRightInd w:val="0"/>
        <w:jc w:val="center"/>
        <w:rPr>
          <w:b/>
          <w:bCs/>
          <w:sz w:val="24"/>
          <w:szCs w:val="24"/>
        </w:rPr>
      </w:pP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proofErr w:type="spellStart"/>
      <w:r w:rsidR="00D50511" w:rsidRPr="00282A90">
        <w:rPr>
          <w:rFonts w:ascii="Times New Roman" w:hAnsi="Times New Roman" w:cs="Times New Roman"/>
          <w:bCs/>
          <w:color w:val="auto"/>
          <w:sz w:val="24"/>
          <w:szCs w:val="24"/>
        </w:rPr>
        <w:t>n.º</w:t>
      </w:r>
      <w:proofErr w:type="spellEnd"/>
      <w:r w:rsidR="00D50511" w:rsidRPr="00282A90">
        <w:rPr>
          <w:rFonts w:ascii="Times New Roman" w:hAnsi="Times New Roman" w:cs="Times New Roman"/>
          <w:bCs/>
          <w:color w:val="auto"/>
          <w:sz w:val="24"/>
          <w:szCs w:val="24"/>
        </w:rPr>
        <w:t xml:space="preserve"> </w:t>
      </w:r>
      <w:r w:rsidR="00D50511">
        <w:rPr>
          <w:rFonts w:ascii="Times New Roman" w:hAnsi="Times New Roman" w:cs="Times New Roman"/>
          <w:bCs/>
          <w:color w:val="auto"/>
          <w:sz w:val="24"/>
          <w:szCs w:val="24"/>
        </w:rPr>
        <w:t>90</w:t>
      </w:r>
      <w:r w:rsidR="00D50511" w:rsidRPr="00282A90">
        <w:rPr>
          <w:rFonts w:ascii="Times New Roman" w:hAnsi="Times New Roman" w:cs="Times New Roman"/>
          <w:bCs/>
          <w:color w:val="auto"/>
          <w:sz w:val="24"/>
          <w:szCs w:val="24"/>
        </w:rPr>
        <w:t xml:space="preserve">, de </w:t>
      </w:r>
      <w:r w:rsidR="00D50511">
        <w:rPr>
          <w:rFonts w:ascii="Times New Roman" w:hAnsi="Times New Roman" w:cs="Times New Roman"/>
          <w:bCs/>
          <w:color w:val="auto"/>
          <w:sz w:val="24"/>
          <w:szCs w:val="24"/>
        </w:rPr>
        <w:t>12/07/2024</w:t>
      </w:r>
      <w:r w:rsidRPr="00E8518D">
        <w:rPr>
          <w:rFonts w:ascii="Times New Roman" w:hAnsi="Times New Roman" w:cs="Times New Roman"/>
          <w:bCs/>
          <w:sz w:val="24"/>
          <w:szCs w:val="24"/>
        </w:rPr>
        <w:t xml:space="preserve">, realizará Licitação, na modalidade PREGÃO, na forma ELETRÔNICA, </w:t>
      </w:r>
      <w:r w:rsidR="00284CFE">
        <w:rPr>
          <w:rFonts w:ascii="Times New Roman" w:hAnsi="Times New Roman" w:cs="Times New Roman"/>
          <w:bCs/>
          <w:sz w:val="24"/>
          <w:szCs w:val="24"/>
        </w:rPr>
        <w:t xml:space="preserve">por REGISTRO DE PREÇO, </w:t>
      </w:r>
      <w:r w:rsidRPr="00E8518D">
        <w:rPr>
          <w:rFonts w:ascii="Times New Roman" w:hAnsi="Times New Roman" w:cs="Times New Roman"/>
          <w:bCs/>
          <w:sz w:val="24"/>
          <w:szCs w:val="24"/>
        </w:rPr>
        <w:t xml:space="preserve">com critério de julgamento Menor Preço </w:t>
      </w:r>
      <w:r w:rsidR="00D50511">
        <w:rPr>
          <w:rFonts w:ascii="Times New Roman" w:hAnsi="Times New Roman" w:cs="Times New Roman"/>
          <w:bCs/>
          <w:sz w:val="24"/>
          <w:szCs w:val="24"/>
        </w:rPr>
        <w:t>–</w:t>
      </w:r>
      <w:r w:rsidRPr="00E8518D">
        <w:rPr>
          <w:rFonts w:ascii="Times New Roman" w:hAnsi="Times New Roman" w:cs="Times New Roman"/>
          <w:bCs/>
          <w:sz w:val="24"/>
          <w:szCs w:val="24"/>
        </w:rPr>
        <w:t xml:space="preserve"> Lote</w:t>
      </w:r>
      <w:r w:rsidR="00D50511">
        <w:rPr>
          <w:rFonts w:ascii="Times New Roman" w:hAnsi="Times New Roman" w:cs="Times New Roman"/>
          <w:bCs/>
          <w:sz w:val="24"/>
          <w:szCs w:val="24"/>
        </w:rPr>
        <w:t>/Grupo</w:t>
      </w:r>
      <w:r w:rsidRPr="00E8518D">
        <w:rPr>
          <w:rFonts w:ascii="Times New Roman" w:hAnsi="Times New Roman" w:cs="Times New Roman"/>
          <w:bCs/>
          <w:sz w:val="24"/>
          <w:szCs w:val="24"/>
        </w:rPr>
        <w:t xml:space="preserv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171930" w:rsidRDefault="00917AAE" w:rsidP="00917AAE">
            <w:pPr>
              <w:pStyle w:val="Ttulo1"/>
              <w:snapToGrid w:val="0"/>
              <w:jc w:val="right"/>
              <w:rPr>
                <w:rFonts w:ascii="Times New Roman" w:hAnsi="Times New Roman"/>
                <w:b w:val="0"/>
                <w:sz w:val="24"/>
                <w:szCs w:val="24"/>
              </w:rPr>
            </w:pPr>
            <w:r>
              <w:rPr>
                <w:rFonts w:ascii="Times New Roman" w:hAnsi="Times New Roman"/>
                <w:b w:val="0"/>
                <w:bCs w:val="0"/>
                <w:color w:val="000000"/>
                <w:sz w:val="24"/>
                <w:szCs w:val="24"/>
              </w:rPr>
              <w:t>83036944/2023</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D50511" w:rsidP="00305C77">
            <w:pPr>
              <w:pStyle w:val="Ttulo1"/>
              <w:snapToGrid w:val="0"/>
              <w:jc w:val="right"/>
              <w:rPr>
                <w:rFonts w:ascii="Times New Roman" w:hAnsi="Times New Roman"/>
                <w:b w:val="0"/>
                <w:sz w:val="24"/>
                <w:szCs w:val="24"/>
              </w:rPr>
            </w:pPr>
            <w:r>
              <w:rPr>
                <w:rFonts w:ascii="Times New Roman" w:hAnsi="Times New Roman"/>
                <w:b w:val="0"/>
                <w:sz w:val="24"/>
                <w:szCs w:val="24"/>
              </w:rPr>
              <w:t>90010</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05C77">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p>
        </w:tc>
      </w:tr>
      <w:tr w:rsidR="00FA7887" w:rsidRPr="00FA7887"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FA7887" w:rsidRDefault="00050D12" w:rsidP="00917AAE">
            <w:pPr>
              <w:pStyle w:val="Ttulo1"/>
              <w:snapToGrid w:val="0"/>
              <w:jc w:val="right"/>
              <w:rPr>
                <w:rFonts w:ascii="Times New Roman" w:hAnsi="Times New Roman"/>
                <w:b w:val="0"/>
                <w:sz w:val="24"/>
                <w:szCs w:val="24"/>
              </w:rPr>
            </w:pPr>
            <w:r>
              <w:rPr>
                <w:rFonts w:ascii="Times New Roman" w:hAnsi="Times New Roman"/>
                <w:b w:val="0"/>
                <w:sz w:val="24"/>
                <w:szCs w:val="24"/>
              </w:rPr>
              <w:t>02/10</w:t>
            </w:r>
            <w:bookmarkStart w:id="0" w:name="_GoBack"/>
            <w:bookmarkEnd w:id="0"/>
            <w:r w:rsidR="00917AAE">
              <w:rPr>
                <w:rFonts w:ascii="Times New Roman" w:hAnsi="Times New Roman"/>
                <w:b w:val="0"/>
                <w:sz w:val="24"/>
                <w:szCs w:val="24"/>
              </w:rPr>
              <w:t>/20</w:t>
            </w:r>
            <w:r w:rsidR="00FA7887" w:rsidRPr="00FA7887">
              <w:rPr>
                <w:rFonts w:ascii="Times New Roman" w:hAnsi="Times New Roman"/>
                <w:b w:val="0"/>
                <w:sz w:val="24"/>
                <w:szCs w:val="24"/>
              </w:rPr>
              <w:t>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050D12"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760459"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w:t>
            </w:r>
            <w:r w:rsidR="00760459">
              <w:rPr>
                <w:rFonts w:ascii="Times New Roman" w:hAnsi="Times New Roman"/>
                <w:b w:val="0"/>
                <w:sz w:val="24"/>
                <w:szCs w:val="24"/>
              </w:rPr>
              <w:t xml:space="preserve"> -  Minuta da Ata</w:t>
            </w:r>
            <w:r w:rsidRPr="00320888">
              <w:rPr>
                <w:rFonts w:ascii="Times New Roman" w:hAnsi="Times New Roman"/>
                <w:b w:val="0"/>
                <w:sz w:val="24"/>
                <w:szCs w:val="24"/>
              </w:rPr>
              <w:t xml:space="preserve"> </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sdt>
      <w:sdtPr>
        <w:rPr>
          <w:rFonts w:ascii="Arial" w:eastAsia="Times New Roman" w:hAnsi="Arial" w:cs="Arial"/>
          <w:color w:val="auto"/>
          <w:sz w:val="22"/>
          <w:szCs w:val="22"/>
        </w:rPr>
        <w:id w:val="-615513808"/>
        <w:docPartObj>
          <w:docPartGallery w:val="Table of Contents"/>
          <w:docPartUnique/>
        </w:docPartObj>
      </w:sdtPr>
      <w:sdtEndPr>
        <w:rPr>
          <w:rFonts w:eastAsia="MS Mincho"/>
          <w:b/>
          <w:bCs/>
        </w:rPr>
      </w:sdtEndPr>
      <w:sdtContent>
        <w:sdt>
          <w:sdtPr>
            <w:rPr>
              <w:rFonts w:ascii="Arial" w:eastAsia="Times New Roman" w:hAnsi="Arial" w:cs="Arial"/>
              <w:color w:val="auto"/>
              <w:sz w:val="22"/>
              <w:szCs w:val="22"/>
            </w:rPr>
            <w:id w:val="573701916"/>
            <w:docPartObj>
              <w:docPartGallery w:val="Table of Contents"/>
              <w:docPartUnique/>
            </w:docPartObj>
          </w:sdtPr>
          <w:sdtEndPr>
            <w:rPr>
              <w:rFonts w:eastAsia="MS Mincho"/>
              <w:b/>
              <w:bCs/>
            </w:rPr>
          </w:sdtEndPr>
          <w:sdtContent>
            <w:p w:rsidR="00760459" w:rsidRPr="00760459" w:rsidRDefault="00760459" w:rsidP="00760459">
              <w:pPr>
                <w:pStyle w:val="CabealhodoSumrio"/>
                <w:rPr>
                  <w:rFonts w:ascii="Arial" w:eastAsia="MS Gothic" w:hAnsi="Arial" w:cs="Arial"/>
                  <w:color w:val="auto"/>
                  <w:sz w:val="22"/>
                  <w:szCs w:val="22"/>
                </w:rPr>
              </w:pPr>
              <w:r w:rsidRPr="00760459">
                <w:rPr>
                  <w:rFonts w:ascii="Arial" w:eastAsia="MS Gothic" w:hAnsi="Arial" w:cs="Arial"/>
                  <w:color w:val="auto"/>
                  <w:sz w:val="22"/>
                  <w:szCs w:val="22"/>
                </w:rPr>
                <w:t>Sumário</w:t>
              </w:r>
            </w:p>
            <w:p w:rsidR="00760459" w:rsidRPr="00760459" w:rsidRDefault="00760459" w:rsidP="00760459">
              <w:pPr>
                <w:rPr>
                  <w:rFonts w:ascii="Arial" w:eastAsia="MS Mincho" w:hAnsi="Arial" w:cs="Arial"/>
                  <w:sz w:val="24"/>
                  <w:szCs w:val="24"/>
                </w:rPr>
              </w:pPr>
            </w:p>
            <w:p w:rsidR="00760459" w:rsidRPr="00760459" w:rsidRDefault="00760459" w:rsidP="00760459">
              <w:pPr>
                <w:tabs>
                  <w:tab w:val="left" w:pos="426"/>
                  <w:tab w:val="right" w:leader="dot" w:pos="9628"/>
                </w:tabs>
                <w:spacing w:after="100"/>
                <w:rPr>
                  <w:rFonts w:ascii="Cambria" w:eastAsia="MS Mincho" w:hAnsi="Cambria" w:cs="Arial"/>
                  <w:noProof/>
                  <w:sz w:val="22"/>
                  <w:szCs w:val="22"/>
                </w:rPr>
              </w:pPr>
              <w:r w:rsidRPr="00760459">
                <w:rPr>
                  <w:rFonts w:ascii="Arial" w:hAnsi="Arial" w:cs="Arial"/>
                  <w:sz w:val="22"/>
                  <w:szCs w:val="22"/>
                </w:rPr>
                <w:fldChar w:fldCharType="begin"/>
              </w:r>
              <w:r w:rsidRPr="00760459">
                <w:rPr>
                  <w:rFonts w:ascii="Arial" w:hAnsi="Arial" w:cs="Arial"/>
                  <w:sz w:val="22"/>
                  <w:szCs w:val="22"/>
                </w:rPr>
                <w:instrText xml:space="preserve"> TOC \o "1-3" \h \z \u </w:instrText>
              </w:r>
              <w:r w:rsidRPr="00760459">
                <w:rPr>
                  <w:rFonts w:ascii="Arial" w:hAnsi="Arial" w:cs="Arial"/>
                  <w:sz w:val="22"/>
                  <w:szCs w:val="22"/>
                </w:rPr>
                <w:fldChar w:fldCharType="separate"/>
              </w:r>
              <w:hyperlink w:anchor="_Toc135469223" w:history="1">
                <w:r w:rsidRPr="00760459">
                  <w:rPr>
                    <w:rFonts w:ascii="Arial" w:hAnsi="Arial" w:cs="Tahoma"/>
                    <w:noProof/>
                    <w:szCs w:val="24"/>
                    <w:u w:val="single"/>
                    <w:lang w:eastAsia="en-US"/>
                  </w:rPr>
                  <w:t>1.</w:t>
                </w:r>
                <w:r w:rsidRPr="00760459">
                  <w:rPr>
                    <w:rFonts w:ascii="Cambria" w:eastAsia="MS Mincho" w:hAnsi="Cambria" w:cs="Arial"/>
                    <w:noProof/>
                    <w:sz w:val="22"/>
                    <w:szCs w:val="22"/>
                  </w:rPr>
                  <w:tab/>
                </w:r>
                <w:r w:rsidRPr="00760459">
                  <w:rPr>
                    <w:rFonts w:ascii="Arial" w:hAnsi="Arial" w:cs="Tahoma"/>
                    <w:noProof/>
                    <w:szCs w:val="24"/>
                    <w:u w:val="single"/>
                    <w:lang w:eastAsia="en-US"/>
                  </w:rPr>
                  <w:t>DO OBJETO</w:t>
                </w:r>
                <w:r w:rsidRPr="00760459">
                  <w:rPr>
                    <w:rFonts w:ascii="Arial" w:hAnsi="Arial" w:cs="Tahoma"/>
                    <w:noProof/>
                    <w:webHidden/>
                    <w:szCs w:val="24"/>
                  </w:rPr>
                  <w:tab/>
                </w:r>
                <w:r w:rsidRPr="00760459">
                  <w:rPr>
                    <w:rFonts w:ascii="Arial" w:hAnsi="Arial" w:cs="Tahoma"/>
                    <w:noProof/>
                    <w:webHidden/>
                    <w:szCs w:val="24"/>
                  </w:rPr>
                  <w:fldChar w:fldCharType="begin"/>
                </w:r>
                <w:r w:rsidRPr="00760459">
                  <w:rPr>
                    <w:rFonts w:ascii="Arial" w:hAnsi="Arial" w:cs="Tahoma"/>
                    <w:noProof/>
                    <w:webHidden/>
                    <w:szCs w:val="24"/>
                  </w:rPr>
                  <w:instrText xml:space="preserve"> PAGEREF _Toc135469223 \h </w:instrText>
                </w:r>
                <w:r w:rsidRPr="00760459">
                  <w:rPr>
                    <w:rFonts w:ascii="Arial" w:hAnsi="Arial" w:cs="Tahoma"/>
                    <w:noProof/>
                    <w:webHidden/>
                    <w:szCs w:val="24"/>
                  </w:rPr>
                </w:r>
                <w:r w:rsidRPr="00760459">
                  <w:rPr>
                    <w:rFonts w:ascii="Arial" w:hAnsi="Arial" w:cs="Tahoma"/>
                    <w:noProof/>
                    <w:webHidden/>
                    <w:szCs w:val="24"/>
                  </w:rPr>
                  <w:fldChar w:fldCharType="separate"/>
                </w:r>
                <w:r w:rsidR="00EB18A4">
                  <w:rPr>
                    <w:rFonts w:ascii="Arial" w:hAnsi="Arial" w:cs="Tahoma"/>
                    <w:noProof/>
                    <w:webHidden/>
                    <w:szCs w:val="24"/>
                  </w:rPr>
                  <w:t>3</w:t>
                </w:r>
                <w:r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4" w:history="1">
                <w:r w:rsidR="00760459" w:rsidRPr="00760459">
                  <w:rPr>
                    <w:rFonts w:ascii="Arial" w:hAnsi="Arial" w:cs="Tahoma"/>
                    <w:noProof/>
                    <w:szCs w:val="24"/>
                    <w:u w:val="single"/>
                  </w:rPr>
                  <w:t>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 xml:space="preserve">DO REGISTRO DE PREÇOS </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5" w:history="1">
                <w:r w:rsidR="00760459" w:rsidRPr="00760459">
                  <w:rPr>
                    <w:rFonts w:ascii="Arial" w:hAnsi="Arial" w:cs="Tahoma"/>
                    <w:noProof/>
                    <w:szCs w:val="24"/>
                    <w:u w:val="single"/>
                  </w:rPr>
                  <w:t>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PARTICIPAÇÃO NA LICITAÇÃO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6" w:history="1">
                <w:r w:rsidR="00760459" w:rsidRPr="00760459">
                  <w:rPr>
                    <w:rFonts w:ascii="Arial" w:hAnsi="Arial" w:cs="Tahoma"/>
                    <w:noProof/>
                    <w:szCs w:val="24"/>
                    <w:u w:val="single"/>
                  </w:rPr>
                  <w:t>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APRESENTAÇÃO DA PROPOSTA E DOS DOCUMENTOS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5</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7" w:history="1">
                <w:r w:rsidR="00760459" w:rsidRPr="00760459">
                  <w:rPr>
                    <w:rFonts w:ascii="Arial" w:hAnsi="Arial" w:cs="Tahoma"/>
                    <w:noProof/>
                    <w:szCs w:val="24"/>
                    <w:u w:val="single"/>
                  </w:rPr>
                  <w:t>5.</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 PREENCHIMENTO DA PROPOSTA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_Toc135469227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6</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8" w:history="1">
                <w:r w:rsidR="00760459" w:rsidRPr="00760459">
                  <w:rPr>
                    <w:rFonts w:ascii="Arial" w:hAnsi="Arial" w:cs="Tahoma"/>
                    <w:noProof/>
                    <w:szCs w:val="24"/>
                    <w:u w:val="single"/>
                  </w:rPr>
                  <w:t>6.</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ABERTURA DA SESSÃO, CLASSIFICAÇÃO DAS PROPOSTAS E FORMULAÇÃO DE LANCES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_Toc135469228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7</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29" w:history="1">
                <w:r w:rsidR="00760459" w:rsidRPr="00760459">
                  <w:rPr>
                    <w:rFonts w:ascii="Arial" w:hAnsi="Arial" w:cs="Tahoma"/>
                    <w:noProof/>
                    <w:szCs w:val="24"/>
                    <w:u w:val="single"/>
                  </w:rPr>
                  <w:t>7.</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JULGAMENTO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_Toc135469229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11</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0" w:history="1">
                <w:r w:rsidR="00760459" w:rsidRPr="00760459">
                  <w:rPr>
                    <w:rFonts w:ascii="Arial" w:hAnsi="Arial" w:cs="Tahoma"/>
                    <w:noProof/>
                    <w:szCs w:val="24"/>
                    <w:u w:val="single"/>
                  </w:rPr>
                  <w:t>8.</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_Toc135469230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14</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1" w:history="1">
                <w:r w:rsidR="00760459" w:rsidRPr="00760459">
                  <w:rPr>
                    <w:rFonts w:ascii="Arial" w:hAnsi="Arial" w:cs="Tahoma"/>
                    <w:noProof/>
                    <w:szCs w:val="24"/>
                    <w:u w:val="single"/>
                  </w:rPr>
                  <w:t>9.</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ATA DE REGISTRO DE PREÇOS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_Toc135469231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17</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2" w:history="1">
                <w:r w:rsidR="00760459" w:rsidRPr="00760459">
                  <w:rPr>
                    <w:rFonts w:ascii="Arial" w:hAnsi="Arial" w:cs="Tahoma"/>
                    <w:noProof/>
                    <w:szCs w:val="24"/>
                    <w:u w:val="single"/>
                  </w:rPr>
                  <w:t>10.</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FORMAÇÃO DO CADASTRO DE RESERVA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_Toc135469232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18</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3" w:history="1">
                <w:r w:rsidR="00760459" w:rsidRPr="00760459">
                  <w:rPr>
                    <w:rFonts w:ascii="Arial" w:hAnsi="Arial" w:cs="Tahoma"/>
                    <w:noProof/>
                    <w:szCs w:val="24"/>
                    <w:u w:val="single"/>
                  </w:rPr>
                  <w:t>11.</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DOS RECURSOS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_Toc135469233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17</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4" w:history="1">
                <w:r w:rsidR="00760459" w:rsidRPr="00760459">
                  <w:rPr>
                    <w:rFonts w:ascii="Arial" w:hAnsi="Arial" w:cs="Tahoma"/>
                    <w:noProof/>
                    <w:szCs w:val="24"/>
                    <w:u w:val="single"/>
                  </w:rPr>
                  <w:t>12.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INFRAÇÕES ADMINISTRATIVAS E SANÇÕES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19</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5" w:history="1">
                <w:r w:rsidR="00760459" w:rsidRPr="00760459">
                  <w:rPr>
                    <w:rFonts w:ascii="Arial" w:hAnsi="Arial" w:cs="Tahoma"/>
                    <w:noProof/>
                    <w:szCs w:val="24"/>
                    <w:u w:val="single"/>
                  </w:rPr>
                  <w:t>13.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IMPUGNAÇÃO AO EDITAL E DO PEDIDO DE ESCLARECIMENTO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050D12" w:rsidP="00760459">
              <w:pPr>
                <w:tabs>
                  <w:tab w:val="left" w:pos="426"/>
                  <w:tab w:val="right" w:leader="dot" w:pos="9628"/>
                </w:tabs>
                <w:spacing w:after="100"/>
                <w:rPr>
                  <w:rFonts w:ascii="Cambria" w:eastAsia="MS Mincho" w:hAnsi="Cambria" w:cs="Arial"/>
                  <w:noProof/>
                  <w:sz w:val="22"/>
                  <w:szCs w:val="22"/>
                </w:rPr>
              </w:pPr>
              <w:hyperlink w:anchor="_Toc135469236" w:history="1">
                <w:r w:rsidR="00760459" w:rsidRPr="00760459">
                  <w:rPr>
                    <w:rFonts w:ascii="Arial" w:hAnsi="Arial" w:cs="Tahoma"/>
                    <w:noProof/>
                    <w:szCs w:val="24"/>
                    <w:u w:val="single"/>
                  </w:rPr>
                  <w:t>14.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DISPOSIÇÕES GERAIS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EB18A4">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760459" w:rsidP="00760459">
              <w:pPr>
                <w:rPr>
                  <w:rFonts w:ascii="Arial" w:eastAsia="MS Mincho" w:hAnsi="Arial" w:cs="Arial"/>
                  <w:b/>
                  <w:bCs/>
                  <w:sz w:val="22"/>
                  <w:szCs w:val="22"/>
                </w:rPr>
              </w:pPr>
              <w:r w:rsidRPr="00760459">
                <w:rPr>
                  <w:rFonts w:ascii="Arial" w:eastAsia="MS Mincho" w:hAnsi="Arial" w:cs="Arial"/>
                  <w:b/>
                  <w:bCs/>
                  <w:sz w:val="22"/>
                  <w:szCs w:val="22"/>
                </w:rPr>
                <w:fldChar w:fldCharType="end"/>
              </w:r>
            </w:p>
          </w:sdtContent>
        </w:sdt>
        <w:p w:rsidR="009200C8" w:rsidRPr="00951C0E" w:rsidRDefault="00050D12" w:rsidP="00760459">
          <w:pPr>
            <w:keepNext/>
            <w:keepLines/>
            <w:spacing w:before="240" w:line="259" w:lineRule="auto"/>
            <w:rPr>
              <w:rFonts w:ascii="Arial" w:eastAsia="MS Mincho" w:hAnsi="Arial" w:cs="Arial"/>
              <w:b/>
              <w:bCs/>
              <w:sz w:val="22"/>
              <w:szCs w:val="22"/>
            </w:rPr>
          </w:pP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9153B5">
        <w:rPr>
          <w:rFonts w:ascii="Arial" w:hAnsi="Arial" w:cs="Arial"/>
          <w:b/>
          <w:color w:val="000000"/>
        </w:rPr>
        <w:t>900</w:t>
      </w:r>
      <w:r w:rsidR="004E66F5">
        <w:rPr>
          <w:rFonts w:ascii="Arial" w:hAnsi="Arial" w:cs="Arial"/>
          <w:b/>
          <w:color w:val="000000"/>
        </w:rPr>
        <w:t>10</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4E66F5" w:rsidRPr="004E66F5" w:rsidRDefault="004E66F5" w:rsidP="004E66F5">
      <w:pPr>
        <w:pStyle w:val="Nivel2"/>
        <w:rPr>
          <w:rFonts w:ascii="Times New Roman" w:eastAsia="Times New Roman" w:hAnsi="Times New Roman" w:cs="Times New Roman"/>
          <w:sz w:val="24"/>
          <w:szCs w:val="24"/>
        </w:rPr>
      </w:pPr>
      <w:r w:rsidRPr="004E66F5">
        <w:rPr>
          <w:rFonts w:ascii="Times New Roman" w:eastAsia="Times New Roman" w:hAnsi="Times New Roman" w:cs="Times New Roman"/>
          <w:sz w:val="24"/>
          <w:szCs w:val="24"/>
        </w:rPr>
        <w:t>Aquisição de uniformes para os colaboradores da Agência Estadual de Metrologia de Mato Grosso do Sul – AEM/MS, conforme especificações e condições const</w:t>
      </w:r>
      <w:r w:rsidR="00EB18A4">
        <w:rPr>
          <w:rFonts w:ascii="Times New Roman" w:eastAsia="Times New Roman" w:hAnsi="Times New Roman" w:cs="Times New Roman"/>
          <w:sz w:val="24"/>
          <w:szCs w:val="24"/>
        </w:rPr>
        <w:t>antes neste Termo de Referência.</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 conforme tabela constante no Termo de Referência, devendo o licitante oferecer proposta para todos os itens que o compõem</w:t>
      </w:r>
      <w:r w:rsidR="009153B5">
        <w:rPr>
          <w:rFonts w:ascii="Times New Roman" w:hAnsi="Times New Roman" w:cs="Times New Roman"/>
          <w:i w:val="0"/>
          <w:color w:val="auto"/>
          <w:sz w:val="24"/>
          <w:szCs w:val="24"/>
        </w:rPr>
        <w:t xml:space="preserve"> cada grupo</w:t>
      </w:r>
      <w:r w:rsidRPr="00876C03">
        <w:rPr>
          <w:rFonts w:ascii="Times New Roman" w:hAnsi="Times New Roman" w:cs="Times New Roman"/>
          <w:i w:val="0"/>
          <w:color w:val="auto"/>
          <w:sz w:val="24"/>
          <w:szCs w:val="24"/>
        </w:rPr>
        <w:t>.</w:t>
      </w:r>
    </w:p>
    <w:p w:rsidR="00253797" w:rsidRPr="00253797" w:rsidRDefault="00253797" w:rsidP="00253797">
      <w:pPr>
        <w:pStyle w:val="Nivel01"/>
      </w:pPr>
      <w:bookmarkStart w:id="2" w:name="_Toc135469224"/>
      <w:bookmarkStart w:id="3" w:name="_Toc135469225"/>
      <w:r w:rsidRPr="00253797">
        <w:t xml:space="preserve">DO REGISTRO DE PREÇOS </w:t>
      </w:r>
      <w:bookmarkEnd w:id="2"/>
    </w:p>
    <w:p w:rsidR="00253797" w:rsidRPr="00D3105C" w:rsidRDefault="00253797" w:rsidP="00253797">
      <w:pPr>
        <w:pStyle w:val="Nivel2"/>
        <w:rPr>
          <w:rFonts w:ascii="Times New Roman" w:hAnsi="Times New Roman" w:cs="Times New Roman"/>
          <w:sz w:val="24"/>
          <w:szCs w:val="24"/>
        </w:rPr>
      </w:pPr>
      <w:r w:rsidRPr="00D3105C">
        <w:rPr>
          <w:rFonts w:ascii="Times New Roman" w:hAnsi="Times New Roman" w:cs="Times New Roman"/>
          <w:sz w:val="24"/>
          <w:szCs w:val="24"/>
        </w:rPr>
        <w:t>As regras referentes aos órgãos gerenciador e participantes, bem como a eventuais adesões são as que constam da minuta de Ata de Registro de Preços.</w:t>
      </w:r>
    </w:p>
    <w:p w:rsidR="009200C8" w:rsidRPr="006E1990" w:rsidRDefault="009200C8" w:rsidP="009200C8">
      <w:pPr>
        <w:pStyle w:val="Nivel01"/>
      </w:pPr>
      <w:r w:rsidRPr="006E1990">
        <w:t>DA PARTICIPAÇÃO NA LICITAÇÃO</w:t>
      </w:r>
      <w:bookmarkEnd w:id="3"/>
    </w:p>
    <w:p w:rsidR="009200C8" w:rsidRDefault="009200C8" w:rsidP="009200C8">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4"/>
    </w:p>
    <w:p w:rsidR="009200C8" w:rsidRPr="00782A77" w:rsidRDefault="009200C8" w:rsidP="009200C8">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6" w:name="_Ref117000692"/>
      <w:r w:rsidRPr="58B543D9">
        <w:t xml:space="preserve">Não </w:t>
      </w:r>
      <w:r w:rsidRPr="00535637">
        <w:t>poderão</w:t>
      </w:r>
      <w:r w:rsidRPr="58B543D9">
        <w:t xml:space="preserve"> disputar </w:t>
      </w:r>
      <w:r w:rsidR="00D3105C">
        <w:t>d</w:t>
      </w:r>
      <w:r w:rsidRPr="58B543D9">
        <w:t>esta licitação:</w:t>
      </w:r>
      <w:bookmarkEnd w:id="6"/>
    </w:p>
    <w:p w:rsidR="009200C8" w:rsidRPr="006E1990" w:rsidRDefault="009200C8" w:rsidP="009200C8">
      <w:pPr>
        <w:pStyle w:val="Nivel3"/>
      </w:pPr>
      <w:bookmarkStart w:id="7"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8" w:name="_Ref114659912"/>
      <w:proofErr w:type="gramStart"/>
      <w:r w:rsidRPr="004A0EA0">
        <w:lastRenderedPageBreak/>
        <w:t>autor</w:t>
      </w:r>
      <w:proofErr w:type="gramEnd"/>
      <w:r w:rsidRPr="004A0EA0">
        <w:t xml:space="preserve"> do anteprojeto, do projeto básico ou do projeto executivo, pessoa física ou jurídica, quando a licitação versar sobre serviços ou fornecimento de bens a ele relacionados</w:t>
      </w:r>
      <w:r w:rsidR="006043B1">
        <w:t>, quando for o caso</w:t>
      </w:r>
      <w:r w:rsidRPr="004A0EA0">
        <w:t>;</w:t>
      </w:r>
      <w:bookmarkEnd w:id="7"/>
      <w:bookmarkEnd w:id="8"/>
    </w:p>
    <w:p w:rsidR="009200C8" w:rsidRPr="004A0EA0" w:rsidRDefault="009200C8" w:rsidP="009200C8">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4A0EA0">
        <w:t xml:space="preserve"> </w:t>
      </w:r>
      <w:bookmarkEnd w:id="10"/>
    </w:p>
    <w:p w:rsidR="009200C8" w:rsidRPr="006E1990" w:rsidRDefault="009200C8" w:rsidP="009200C8">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2" w:name="_Ref113883579"/>
      <w:proofErr w:type="gramStart"/>
      <w:r w:rsidRPr="006E1990">
        <w:t>empresas</w:t>
      </w:r>
      <w:proofErr w:type="gramEnd"/>
      <w:r w:rsidRPr="006E1990">
        <w:t xml:space="preserve"> controladoras, controladas ou coligadas, nos termos da Lei nº 6.404, de 15 de dezembro de 1976, concorrendo entre si;</w:t>
      </w:r>
      <w:bookmarkEnd w:id="12"/>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EB18A4">
        <w:t>3.5.4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4" w:name="art14§2"/>
      <w:bookmarkEnd w:id="14"/>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EB18A4">
        <w:t>3.5.2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EB18A4">
        <w:t>3.5.3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5" w:name="art14§3"/>
      <w:bookmarkEnd w:id="15"/>
      <w:r w:rsidRPr="00535637">
        <w:t>Equiparam-se aos autores do projeto as empresas integrantes do mesmo grupo econômico.</w:t>
      </w:r>
    </w:p>
    <w:p w:rsidR="009200C8" w:rsidRPr="004A0EA0" w:rsidRDefault="009200C8" w:rsidP="009200C8">
      <w:pPr>
        <w:pStyle w:val="Nivel2"/>
      </w:pPr>
      <w:bookmarkStart w:id="16" w:name="art14§4"/>
      <w:bookmarkEnd w:id="16"/>
      <w:r>
        <w:t xml:space="preserve">O disposto nos itens </w:t>
      </w:r>
      <w:r>
        <w:fldChar w:fldCharType="begin"/>
      </w:r>
      <w:r>
        <w:instrText xml:space="preserve"> REF _Ref114659912 \r \h  \* MERGEFORMAT </w:instrText>
      </w:r>
      <w:r>
        <w:fldChar w:fldCharType="separate"/>
      </w:r>
      <w:r w:rsidR="00EB18A4">
        <w:t>3.5.2</w:t>
      </w:r>
      <w:r>
        <w:fldChar w:fldCharType="end"/>
      </w:r>
      <w:r>
        <w:t xml:space="preserve"> e </w:t>
      </w:r>
      <w:r>
        <w:fldChar w:fldCharType="begin"/>
      </w:r>
      <w:r>
        <w:instrText xml:space="preserve"> REF _Ref114659913 \r \h  \* MERGEFORMAT </w:instrText>
      </w:r>
      <w:r>
        <w:fldChar w:fldCharType="separate"/>
      </w:r>
      <w:r w:rsidR="00EB18A4">
        <w:t>3.5.3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w:t>
      </w:r>
      <w:r>
        <w:lastRenderedPageBreak/>
        <w:t xml:space="preserve">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EB18A4">
        <w:t>3.5.8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8" w:name="_Toc135469226"/>
      <w:r w:rsidRPr="006E1990">
        <w:t>DA APRESENTAÇÃO DA PROPOSTA E DOS DOCUMENTOS DE HABILITAÇÃO</w:t>
      </w:r>
      <w:bookmarkEnd w:id="18"/>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9"/>
    </w:p>
    <w:p w:rsidR="009200C8" w:rsidRPr="006E1990" w:rsidRDefault="009200C8" w:rsidP="009200C8">
      <w:pPr>
        <w:pStyle w:val="Nivel2"/>
      </w:pPr>
      <w:bookmarkStart w:id="2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EB18A4">
        <w:t>8.1.1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EB18A4">
        <w:t>8.12.1</w:t>
      </w:r>
      <w:r w:rsidRPr="006E1990">
        <w:fldChar w:fldCharType="end"/>
      </w:r>
      <w:r w:rsidRPr="006E1990">
        <w:t xml:space="preserve"> deste Edital.</w:t>
      </w:r>
      <w:bookmarkEnd w:id="20"/>
    </w:p>
    <w:p w:rsidR="009200C8" w:rsidRPr="006E1990" w:rsidRDefault="009200C8" w:rsidP="009200C8">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rsidR="00711FD4" w:rsidRPr="00711FD4" w:rsidRDefault="009200C8" w:rsidP="00760459">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711FD4">
        <w:rPr>
          <w:color w:val="auto"/>
        </w:rPr>
        <w:t>infralegais</w:t>
      </w:r>
      <w:proofErr w:type="spellEnd"/>
      <w:r w:rsidRPr="00711FD4">
        <w:rPr>
          <w:color w:val="auto"/>
        </w:rPr>
        <w:t>,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60459">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2"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EB18A4">
        <w:t>4.4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EB18A4">
        <w:t>4.6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EB18A4">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4" w:name="_Toc135469227"/>
      <w:r w:rsidRPr="006E1990">
        <w:t>DO PREENCHIMENTO DA PROPOSTA</w:t>
      </w:r>
      <w:bookmarkEnd w:id="24"/>
    </w:p>
    <w:p w:rsidR="009200C8" w:rsidRPr="006E1990" w:rsidRDefault="009200C8" w:rsidP="009200C8">
      <w:pPr>
        <w:pStyle w:val="Nivel2"/>
        <w:rPr>
          <w:rFonts w:eastAsia="Times New Roman"/>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8C6030">
        <w:t>.</w:t>
      </w:r>
    </w:p>
    <w:p w:rsidR="009200C8" w:rsidRPr="00711E27" w:rsidRDefault="009200C8" w:rsidP="009200C8">
      <w:pPr>
        <w:pStyle w:val="Nivel2"/>
      </w:pPr>
      <w:r w:rsidRPr="006E1990">
        <w:lastRenderedPageBreak/>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5" w:name="_Toc135469228"/>
      <w:r w:rsidRPr="006E1990">
        <w:t>DA ABERTURA DA SESSÃO, CLASSIFICAÇÃO DAS PROPOSTAS E FORMULAÇÃO DE LANCES</w:t>
      </w:r>
      <w:bookmarkEnd w:id="25"/>
    </w:p>
    <w:p w:rsidR="009200C8" w:rsidRPr="00B9651D" w:rsidRDefault="009200C8" w:rsidP="009200C8">
      <w:pPr>
        <w:pStyle w:val="Nivel2"/>
      </w:pPr>
      <w:bookmarkStart w:id="26"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lastRenderedPageBreak/>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7"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9" w:name="_Hlk113631522"/>
      <w:bookmarkEnd w:id="28"/>
    </w:p>
    <w:bookmarkEnd w:id="29"/>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1" w:name="_Ref116973524"/>
      <w:bookmarkEnd w:id="30"/>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lastRenderedPageBreak/>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2" w:name="art60§1i"/>
      <w:bookmarkEnd w:id="32"/>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3" w:name="art60§1ii"/>
      <w:bookmarkEnd w:id="33"/>
      <w:proofErr w:type="gramStart"/>
      <w:r w:rsidRPr="00B9651D">
        <w:t>empresas</w:t>
      </w:r>
      <w:proofErr w:type="gramEnd"/>
      <w:r w:rsidRPr="006E1990">
        <w:t xml:space="preserve"> brasileiras;</w:t>
      </w:r>
    </w:p>
    <w:p w:rsidR="009200C8" w:rsidRPr="006E1990" w:rsidRDefault="009200C8" w:rsidP="009200C8">
      <w:pPr>
        <w:pStyle w:val="Nivel4"/>
      </w:pPr>
      <w:bookmarkStart w:id="34" w:name="art60§1iii"/>
      <w:bookmarkEnd w:id="34"/>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5" w:name="art60§1iv"/>
      <w:bookmarkEnd w:id="35"/>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lastRenderedPageBreak/>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6"/>
    </w:p>
    <w:p w:rsidR="009200C8" w:rsidRPr="006E1990" w:rsidRDefault="009200C8" w:rsidP="009200C8">
      <w:pPr>
        <w:pStyle w:val="Nivel01"/>
      </w:pPr>
      <w:bookmarkStart w:id="37" w:name="_Toc135469229"/>
      <w:r w:rsidRPr="006E1990">
        <w:t>DA FASE DE JULGAMENTO</w:t>
      </w:r>
      <w:bookmarkEnd w:id="37"/>
    </w:p>
    <w:p w:rsidR="009200C8" w:rsidRPr="006E1990" w:rsidRDefault="009200C8" w:rsidP="009200C8">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EB18A4">
        <w:t>3.5</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9" w:name="_Hlk135317550"/>
      <w:r w:rsidRPr="003662C3">
        <w:lastRenderedPageBreak/>
        <w:t>Na hipótese de inversão das fases de habilitação e julgamento, caso atendidas as condições de participação, será iniciado o procedimento de habilitação.</w:t>
      </w:r>
    </w:p>
    <w:bookmarkEnd w:id="39"/>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EB18A4">
        <w:t>4.6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00DF1250">
        <w:t>o(</w:t>
      </w:r>
      <w:proofErr w:type="gramEnd"/>
      <w:r w:rsidR="00DF1250">
        <w:t>a)</w:t>
      </w:r>
      <w:r w:rsidRPr="006E1990">
        <w:t xml:space="preserve"> pregoeiro</w:t>
      </w:r>
      <w:r w:rsidR="00407A70">
        <w:t>(a)</w:t>
      </w:r>
      <w:r w:rsidRPr="006E1990">
        <w:t xml:space="preserv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DF1250"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w:t>
      </w:r>
      <w:r w:rsidRPr="00B9651D">
        <w:lastRenderedPageBreak/>
        <w:t>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40" w:name="_Toc135469230"/>
      <w:r w:rsidRPr="006E1990">
        <w:lastRenderedPageBreak/>
        <w:t>DA FASE DE HABILITAÇÃO</w:t>
      </w:r>
      <w:bookmarkEnd w:id="40"/>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2"/>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 xml:space="preserve">A verificação no </w:t>
      </w:r>
      <w:proofErr w:type="spellStart"/>
      <w:r>
        <w:t>Sicaf</w:t>
      </w:r>
      <w:proofErr w:type="spellEnd"/>
      <w:r>
        <w:t xml:space="preserve">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3"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3"/>
    </w:p>
    <w:p w:rsidR="009200C8" w:rsidRPr="00B9651D" w:rsidRDefault="009200C8" w:rsidP="009200C8">
      <w:pPr>
        <w:pStyle w:val="Nivel2"/>
      </w:pPr>
      <w:bookmarkStart w:id="44"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EB18A4">
        <w:t>8.12.1</w:t>
      </w:r>
      <w:r w:rsidRPr="00B9651D">
        <w:fldChar w:fldCharType="end"/>
      </w:r>
      <w:r w:rsidRPr="00B9651D">
        <w:t>.</w:t>
      </w:r>
      <w:bookmarkEnd w:id="44"/>
    </w:p>
    <w:p w:rsidR="009200C8" w:rsidRPr="00B9651D" w:rsidRDefault="009200C8" w:rsidP="009200C8">
      <w:pPr>
        <w:pStyle w:val="Nivel2"/>
      </w:pPr>
      <w:bookmarkStart w:id="45" w:name="_Ref114665515"/>
      <w:r w:rsidRPr="00B9651D">
        <w:t>Somente serão disponibilizados para acesso público os documentos de habilitação do licitante cuja proposta atenda ao edital de licitação, após concluídos os procedimentos de que trata o subitem anterior</w:t>
      </w:r>
      <w:bookmarkEnd w:id="45"/>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253797" w:rsidRPr="00253797" w:rsidRDefault="00253797" w:rsidP="00253797">
      <w:pPr>
        <w:pStyle w:val="Nivel01"/>
      </w:pPr>
      <w:bookmarkStart w:id="46" w:name="_Toc135469231"/>
      <w:bookmarkStart w:id="47" w:name="_Toc135469233"/>
      <w:r w:rsidRPr="00253797">
        <w:t>DA ATA DE REGISTRO DE PREÇOS</w:t>
      </w:r>
      <w:bookmarkEnd w:id="46"/>
    </w:p>
    <w:p w:rsidR="00253797" w:rsidRPr="00253797" w:rsidRDefault="00253797" w:rsidP="00253797">
      <w:pPr>
        <w:pStyle w:val="Nivel2"/>
      </w:pPr>
      <w:r w:rsidRPr="00253797">
        <w:t xml:space="preserve">Homologado o resultado da licitação, o licitante mais bem classificado terá o prazo de </w:t>
      </w:r>
      <w:r>
        <w:t>05</w:t>
      </w:r>
      <w:r w:rsidRPr="00253797">
        <w:t xml:space="preserve"> (</w:t>
      </w:r>
      <w:r>
        <w:t>cinco</w:t>
      </w:r>
      <w:r w:rsidRPr="00253797">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253797" w:rsidRPr="00253797" w:rsidRDefault="00253797" w:rsidP="00253797">
      <w:pPr>
        <w:pStyle w:val="Nivel2"/>
      </w:pPr>
      <w:r w:rsidRPr="00253797">
        <w:lastRenderedPageBreak/>
        <w:t>O prazo de convocação poderá ser prorrogado uma vez, por igual período, mediante solicitação do licitante mais bem classificado ou do fornecedor convocado, desde que:</w:t>
      </w:r>
    </w:p>
    <w:p w:rsidR="00253797" w:rsidRPr="00253797" w:rsidRDefault="00253797" w:rsidP="00253797">
      <w:pPr>
        <w:pStyle w:val="Nivel2"/>
        <w:numPr>
          <w:ilvl w:val="0"/>
          <w:numId w:val="0"/>
        </w:numPr>
        <w:ind w:left="567"/>
        <w:rPr>
          <w:iCs/>
          <w:color w:val="auto"/>
        </w:rPr>
      </w:pPr>
      <w:r w:rsidRPr="00253797">
        <w:rPr>
          <w:iCs/>
          <w:color w:val="auto"/>
        </w:rPr>
        <w:t>(a) a solicitação seja devidamente justificada e apresentada dentro do prazo; e</w:t>
      </w:r>
    </w:p>
    <w:p w:rsidR="00253797" w:rsidRPr="00253797" w:rsidRDefault="00253797" w:rsidP="00253797">
      <w:pPr>
        <w:pStyle w:val="Nivel2"/>
        <w:numPr>
          <w:ilvl w:val="0"/>
          <w:numId w:val="0"/>
        </w:numPr>
        <w:ind w:left="567"/>
        <w:rPr>
          <w:iCs/>
          <w:color w:val="auto"/>
        </w:rPr>
      </w:pPr>
      <w:r w:rsidRPr="00253797">
        <w:rPr>
          <w:iCs/>
          <w:color w:val="auto"/>
        </w:rPr>
        <w:t>(b) a justificativa apresentada seja aceita pela Administração.</w:t>
      </w:r>
    </w:p>
    <w:p w:rsidR="00253797" w:rsidRPr="00253797" w:rsidRDefault="00253797" w:rsidP="00253797">
      <w:pPr>
        <w:pStyle w:val="Nivel2"/>
      </w:pPr>
      <w:r w:rsidRPr="00253797">
        <w:t>A ata de registro de preços será assinada por meio de assinatura digital e disponibilizada no sistema de registro de preços.</w:t>
      </w:r>
    </w:p>
    <w:p w:rsidR="00253797" w:rsidRPr="00253797" w:rsidRDefault="00253797" w:rsidP="00253797">
      <w:pPr>
        <w:pStyle w:val="Nivel2"/>
      </w:pPr>
      <w:r w:rsidRPr="00253797">
        <w:t xml:space="preserve">Serão formalizadas tantas Atas de Registro de Preços quantas forem necessárias para o registro de todos os itens constantes no Termo de Referência, com a indicação do licitante vencedor, a descrição </w:t>
      </w:r>
      <w:proofErr w:type="gramStart"/>
      <w:r w:rsidRPr="00253797">
        <w:t>do(</w:t>
      </w:r>
      <w:proofErr w:type="gramEnd"/>
      <w:r w:rsidRPr="00253797">
        <w:t>s) item(</w:t>
      </w:r>
      <w:proofErr w:type="spellStart"/>
      <w:r w:rsidRPr="00253797">
        <w:t>ns</w:t>
      </w:r>
      <w:proofErr w:type="spellEnd"/>
      <w:r w:rsidRPr="00253797">
        <w:t>), as respectivas quantidades, preços registrados e demais condições.</w:t>
      </w:r>
    </w:p>
    <w:p w:rsidR="00253797" w:rsidRPr="00253797" w:rsidRDefault="00253797" w:rsidP="00253797">
      <w:pPr>
        <w:pStyle w:val="Nivel2"/>
      </w:pPr>
      <w:r w:rsidRPr="00253797">
        <w:t>O preço registrado, com a indicação dos fornecedores, será divulgado no PNCP e disponibilizado durante a vigência da ata de registro de preços.</w:t>
      </w:r>
    </w:p>
    <w:p w:rsidR="00253797" w:rsidRPr="00253797" w:rsidRDefault="00253797" w:rsidP="00253797">
      <w:pPr>
        <w:pStyle w:val="Nivel2"/>
      </w:pPr>
      <w:r w:rsidRPr="0025379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53797" w:rsidRPr="00253797" w:rsidRDefault="00253797" w:rsidP="00253797">
      <w:pPr>
        <w:pStyle w:val="Nivel2"/>
      </w:pPr>
      <w:r w:rsidRPr="0025379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253797" w:rsidRPr="00253797" w:rsidRDefault="00253797" w:rsidP="00253797">
      <w:pPr>
        <w:pStyle w:val="Nivel01"/>
      </w:pPr>
      <w:bookmarkStart w:id="48" w:name="_Toc135469232"/>
      <w:r w:rsidRPr="00253797">
        <w:t>DA FORMAÇÃO DO CADASTRO DE RESERVA</w:t>
      </w:r>
      <w:bookmarkEnd w:id="48"/>
      <w:r w:rsidRPr="00253797">
        <w:t xml:space="preserve"> </w:t>
      </w:r>
    </w:p>
    <w:p w:rsidR="00253797" w:rsidRPr="00253797" w:rsidRDefault="00253797" w:rsidP="00253797">
      <w:pPr>
        <w:pStyle w:val="Nivel2"/>
        <w:numPr>
          <w:ilvl w:val="1"/>
          <w:numId w:val="25"/>
        </w:numPr>
        <w:ind w:left="999"/>
      </w:pPr>
      <w:r w:rsidRPr="00253797">
        <w:t xml:space="preserve">Após a homologação da licitação, será incluído na ata, na forma de anexo, o </w:t>
      </w:r>
      <w:proofErr w:type="gramStart"/>
      <w:r w:rsidRPr="00253797">
        <w:t>registro:.</w:t>
      </w:r>
      <w:proofErr w:type="gramEnd"/>
    </w:p>
    <w:p w:rsidR="00253797" w:rsidRDefault="00253797" w:rsidP="00253797">
      <w:pPr>
        <w:pStyle w:val="Nivel3"/>
        <w:ind w:left="1638" w:hanging="504"/>
      </w:pPr>
      <w:proofErr w:type="gramStart"/>
      <w:r w:rsidRPr="00253797">
        <w:t>dos</w:t>
      </w:r>
      <w:proofErr w:type="gramEnd"/>
      <w:r w:rsidRPr="00253797">
        <w:t xml:space="preserve"> licitantes </w:t>
      </w:r>
      <w:bookmarkStart w:id="49" w:name="_Hlk132991372"/>
      <w:r w:rsidRPr="00253797">
        <w:t xml:space="preserve">que </w:t>
      </w:r>
      <w:bookmarkStart w:id="50" w:name="_Hlk132989696"/>
      <w:r w:rsidRPr="00253797">
        <w:t>aceitarem cotar o objeto com preço igual ao do adjudicatári</w:t>
      </w:r>
      <w:bookmarkEnd w:id="49"/>
      <w:r w:rsidRPr="00253797">
        <w:t>o</w:t>
      </w:r>
      <w:bookmarkEnd w:id="50"/>
      <w:r w:rsidRPr="00253797">
        <w:t xml:space="preserve">, observada a classificação na licitação; e </w:t>
      </w:r>
    </w:p>
    <w:p w:rsidR="00253797" w:rsidRPr="00253797" w:rsidRDefault="00253797" w:rsidP="00253797">
      <w:pPr>
        <w:pStyle w:val="Nivel3"/>
        <w:ind w:left="1638" w:hanging="504"/>
        <w:rPr>
          <w:rFonts w:eastAsia="MS Mincho"/>
          <w:iCs/>
        </w:rPr>
      </w:pPr>
      <w:proofErr w:type="gramStart"/>
      <w:r w:rsidRPr="00253797">
        <w:t>dos</w:t>
      </w:r>
      <w:proofErr w:type="gramEnd"/>
      <w:r w:rsidRPr="00253797">
        <w:t xml:space="preserve"> licitantes que mantiverem sua proposta original</w:t>
      </w:r>
    </w:p>
    <w:p w:rsidR="00253797" w:rsidRPr="00253797" w:rsidRDefault="00253797" w:rsidP="00253797">
      <w:pPr>
        <w:pStyle w:val="Nivel2"/>
        <w:ind w:left="999" w:hanging="432"/>
        <w:rPr>
          <w:rFonts w:eastAsia="MS Mincho"/>
          <w:i/>
          <w:iCs/>
        </w:rPr>
      </w:pPr>
      <w:r w:rsidRPr="00253797">
        <w:t>Será respeitada, nas contratações, a ordem de classificação dos licitantes ou fornecedores registrados na ata.</w:t>
      </w:r>
    </w:p>
    <w:p w:rsidR="00253797" w:rsidRPr="00253797" w:rsidRDefault="00253797" w:rsidP="00253797">
      <w:pPr>
        <w:pStyle w:val="Nivel3"/>
        <w:numPr>
          <w:ilvl w:val="2"/>
          <w:numId w:val="26"/>
        </w:numPr>
        <w:ind w:left="1638"/>
        <w:rPr>
          <w:rFonts w:eastAsia="Times New Roman"/>
        </w:rPr>
      </w:pPr>
      <w:r w:rsidRPr="00253797">
        <w:t>A apresentação de novas propostas na forma deste item não prejudicará o resultado do certame em relação ao li</w:t>
      </w:r>
      <w:r w:rsidR="00777767">
        <w:t xml:space="preserve"> </w:t>
      </w:r>
      <w:r w:rsidRPr="00253797">
        <w:t>citante mais bem classificado.</w:t>
      </w:r>
    </w:p>
    <w:p w:rsidR="00253797" w:rsidRPr="00253797" w:rsidRDefault="00253797" w:rsidP="00253797">
      <w:pPr>
        <w:pStyle w:val="Nivel3"/>
        <w:numPr>
          <w:ilvl w:val="2"/>
          <w:numId w:val="26"/>
        </w:numPr>
        <w:ind w:left="1638"/>
      </w:pPr>
      <w:r w:rsidRPr="00253797">
        <w:t>Para fins da ordem de classificação, os licitantes ou fornecedores que aceitarem cotar o objeto com preço igual ao do adjudicatário antecederão aqueles que mantiverem sua proposta original.</w:t>
      </w:r>
    </w:p>
    <w:p w:rsidR="00253797" w:rsidRPr="00253797" w:rsidRDefault="00253797" w:rsidP="00253797">
      <w:pPr>
        <w:pStyle w:val="Nivel2"/>
        <w:rPr>
          <w:color w:val="FF0000"/>
        </w:rPr>
      </w:pPr>
      <w:r w:rsidRPr="00253797">
        <w:rPr>
          <w:color w:val="FF0000"/>
        </w:rPr>
        <w:t xml:space="preserve"> </w:t>
      </w:r>
      <w:r w:rsidRPr="00253797">
        <w:t>A habilitação dos licitantes que comporão o cadastro de reserva será efetuada quando houver necessidade de contratação dos licitantes remanescentes, nas seguintes hipóteses:</w:t>
      </w:r>
    </w:p>
    <w:p w:rsidR="00253797" w:rsidRPr="00253797" w:rsidRDefault="00253797" w:rsidP="00253797">
      <w:pPr>
        <w:pStyle w:val="Nivel3"/>
      </w:pPr>
      <w:r w:rsidRPr="00253797">
        <w:t xml:space="preserve"> </w:t>
      </w:r>
      <w:proofErr w:type="gramStart"/>
      <w:r w:rsidRPr="00253797">
        <w:t>quando</w:t>
      </w:r>
      <w:proofErr w:type="gramEnd"/>
      <w:r w:rsidRPr="00253797">
        <w:t xml:space="preserve"> o licitante vencedor não assinar a ata de registro de preços no prazo e nas condições estabelecidos no edital; ou</w:t>
      </w:r>
    </w:p>
    <w:p w:rsidR="00253797" w:rsidRPr="00253797" w:rsidRDefault="00253797" w:rsidP="00253797">
      <w:pPr>
        <w:pStyle w:val="Nivel3"/>
        <w:rPr>
          <w:rFonts w:eastAsia="Times New Roman"/>
        </w:rPr>
      </w:pPr>
      <w:proofErr w:type="gramStart"/>
      <w:r w:rsidRPr="00253797">
        <w:t>quando</w:t>
      </w:r>
      <w:proofErr w:type="gramEnd"/>
      <w:r w:rsidRPr="00253797">
        <w:t xml:space="preserve"> houver o cancelamento do registro do fornecedor ou do registro de preços, nas hipóteses previstas nos art. 28 e art. 29 do Decreto nº 11.462/23.</w:t>
      </w:r>
    </w:p>
    <w:p w:rsidR="00253797" w:rsidRPr="00FE7BF7" w:rsidRDefault="00253797" w:rsidP="00253797">
      <w:pPr>
        <w:pStyle w:val="Nivel2"/>
        <w:numPr>
          <w:ilvl w:val="0"/>
          <w:numId w:val="0"/>
        </w:numPr>
        <w:ind w:left="4969" w:hanging="432"/>
        <w:rPr>
          <w:rFonts w:eastAsia="Times New Roman"/>
          <w:i/>
          <w:color w:val="000000" w:themeColor="text1"/>
          <w:highlight w:val="cyan"/>
        </w:rPr>
      </w:pPr>
    </w:p>
    <w:p w:rsidR="00253797" w:rsidRPr="00253797" w:rsidRDefault="00253797" w:rsidP="00253797">
      <w:pPr>
        <w:pStyle w:val="Nivel2"/>
      </w:pPr>
      <w:r w:rsidRPr="00253797">
        <w:t xml:space="preserve">Na hipótese de nenhum dos licitantes que aceitaram cotar o objeto com preço igual ao do adjudicatário concordar com a contratação nos termos em igual prazo e nas condições propostas pelo </w:t>
      </w:r>
      <w:r w:rsidRPr="00253797">
        <w:lastRenderedPageBreak/>
        <w:t>primeiro classificado, a Administração, observados o valor estimado e a sua eventual atualização na forma prevista no edital, poderá:</w:t>
      </w:r>
    </w:p>
    <w:p w:rsidR="00253797" w:rsidRPr="00253797" w:rsidRDefault="00253797" w:rsidP="00253797">
      <w:pPr>
        <w:pStyle w:val="Nivel3"/>
      </w:pPr>
      <w:r w:rsidRPr="00253797">
        <w:t xml:space="preserve"> </w:t>
      </w:r>
      <w:proofErr w:type="gramStart"/>
      <w:r w:rsidRPr="00253797">
        <w:t>convocar</w:t>
      </w:r>
      <w:proofErr w:type="gramEnd"/>
      <w:r w:rsidRPr="00253797">
        <w:t xml:space="preserve"> os licitantes que mantiveram sua proposta original para negociação, na ordem de classificação, com vistas à obtenção de preço melhor, mesmo que acima do preço do adjudicatário; ou</w:t>
      </w:r>
    </w:p>
    <w:p w:rsidR="00253797" w:rsidRPr="00253797" w:rsidRDefault="00253797" w:rsidP="00253797">
      <w:pPr>
        <w:pStyle w:val="Nivel3"/>
      </w:pPr>
      <w:r w:rsidRPr="00253797">
        <w:t xml:space="preserve"> </w:t>
      </w:r>
      <w:proofErr w:type="gramStart"/>
      <w:r w:rsidRPr="00253797">
        <w:t>adjudicar</w:t>
      </w:r>
      <w:proofErr w:type="gramEnd"/>
      <w:r w:rsidRPr="00253797">
        <w:t xml:space="preserve"> e firmar o contrato nas condições ofertadas pelos licitantes remanescentes, observada a ordem de classificação, quando frustrada a negociação de melhor condição.</w:t>
      </w:r>
    </w:p>
    <w:p w:rsidR="009200C8" w:rsidRPr="006E1990" w:rsidRDefault="009200C8" w:rsidP="009200C8">
      <w:pPr>
        <w:pStyle w:val="Nivel01"/>
      </w:pPr>
      <w:r>
        <w:t>DOS RECURSOS</w:t>
      </w:r>
      <w:bookmarkEnd w:id="47"/>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51" w:name="_Hlk135318381"/>
      <w:bookmarkStart w:id="52" w:name="_Hlk135315794"/>
      <w:proofErr w:type="gramStart"/>
      <w:r w:rsidRPr="001B385C">
        <w:t>o</w:t>
      </w:r>
      <w:proofErr w:type="gramEnd"/>
      <w:r w:rsidRPr="001B385C">
        <w:t xml:space="preserve"> prazo para a manifestação da intenção de recorrer não será inferior a 10 (dez) minutos.</w:t>
      </w:r>
      <w:bookmarkEnd w:id="51"/>
    </w:p>
    <w:bookmarkEnd w:id="52"/>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53" w:name="_Toc135469234"/>
      <w:r>
        <w:t>DAS INFRAÇÕES ADMINISTRATIVAS E SANÇÕES</w:t>
      </w:r>
      <w:bookmarkEnd w:id="53"/>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54" w:name="_Ref114668085"/>
      <w:bookmarkStart w:id="55" w:name="_Hlk114652595"/>
      <w:proofErr w:type="gramStart"/>
      <w:r w:rsidRPr="00447F3E">
        <w:lastRenderedPageBreak/>
        <w:t>deixar</w:t>
      </w:r>
      <w:proofErr w:type="gramEnd"/>
      <w:r w:rsidRPr="00447F3E">
        <w:t xml:space="preserve"> de entregar a documentação exigida para o certame ou não entregar qualquer documento que tenha sido solicitado pelo/a pregoeiro/a durante o certame;</w:t>
      </w:r>
      <w:bookmarkEnd w:id="54"/>
    </w:p>
    <w:p w:rsidR="009200C8" w:rsidRPr="00447F3E" w:rsidRDefault="009200C8" w:rsidP="009200C8">
      <w:pPr>
        <w:pStyle w:val="Nivel3"/>
      </w:pPr>
      <w:bookmarkStart w:id="56" w:name="_Ref114668108"/>
      <w:r w:rsidRPr="00447F3E">
        <w:t>Salvo em decorrência de fato superveniente devidamente justificado, não mantiver a proposta em especial quando:</w:t>
      </w:r>
      <w:bookmarkEnd w:id="56"/>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8"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8"/>
    </w:p>
    <w:p w:rsidR="009200C8" w:rsidRPr="00447F3E" w:rsidRDefault="009200C8" w:rsidP="009200C8">
      <w:pPr>
        <w:pStyle w:val="Nivel3"/>
      </w:pPr>
      <w:bookmarkStart w:id="59" w:name="_Ref114668245"/>
      <w:proofErr w:type="gramStart"/>
      <w:r w:rsidRPr="00447F3E">
        <w:t>fraudar</w:t>
      </w:r>
      <w:proofErr w:type="gramEnd"/>
      <w:r w:rsidRPr="00447F3E">
        <w:t xml:space="preserve"> a licitação</w:t>
      </w:r>
      <w:bookmarkEnd w:id="59"/>
    </w:p>
    <w:p w:rsidR="009200C8" w:rsidRPr="00447F3E" w:rsidRDefault="009200C8" w:rsidP="009200C8">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p>
    <w:p w:rsidR="009200C8" w:rsidRPr="00447F3E" w:rsidRDefault="009200C8" w:rsidP="009200C8">
      <w:pPr>
        <w:pStyle w:val="Nivel3"/>
      </w:pPr>
      <w:bookmarkStart w:id="62"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62"/>
    </w:p>
    <w:bookmarkEnd w:id="55"/>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lastRenderedPageBreak/>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63"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EB18A4">
        <w:rPr>
          <w:color w:val="auto"/>
        </w:rPr>
        <w:t>12.1.1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EB18A4">
        <w:rPr>
          <w:color w:val="auto"/>
        </w:rPr>
        <w:t>12.1.2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EB18A4">
        <w:rPr>
          <w:color w:val="auto"/>
        </w:rPr>
        <w:t>12.1.3</w:t>
      </w:r>
      <w:r w:rsidRPr="004133E6">
        <w:rPr>
          <w:color w:val="auto"/>
        </w:rPr>
        <w:fldChar w:fldCharType="end"/>
      </w:r>
      <w:r w:rsidRPr="004133E6">
        <w:rPr>
          <w:color w:val="auto"/>
        </w:rPr>
        <w:t>, a multa será de 0,5% a 15% do valor do contrato licitado.</w:t>
      </w:r>
    </w:p>
    <w:bookmarkEnd w:id="63"/>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EB18A4">
        <w:rPr>
          <w:color w:val="auto"/>
        </w:rPr>
        <w:t>12.1.4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EB18A4">
        <w:rPr>
          <w:color w:val="auto"/>
        </w:rPr>
        <w:t>12.1.5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EB18A4">
        <w:rPr>
          <w:color w:val="auto"/>
        </w:rPr>
        <w:t>12.1.6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EB18A4">
        <w:rPr>
          <w:color w:val="auto"/>
        </w:rPr>
        <w:t>12.1.7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EB18A4">
        <w:rPr>
          <w:color w:val="auto"/>
        </w:rPr>
        <w:t>12.1.8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EB18A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B18A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B18A4">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EB18A4">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EB18A4">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EB18A4">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EB18A4">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EB18A4">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EB18A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B18A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B18A4">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EB18A4">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lastRenderedPageBreak/>
        <w:t>A aplicação das sanções previstas neste edital não exclui, em hipótese alguma, a obrigação de reparação integral dos danos causados.</w:t>
      </w:r>
    </w:p>
    <w:p w:rsidR="009200C8" w:rsidRPr="006E1990" w:rsidRDefault="009200C8" w:rsidP="009200C8">
      <w:pPr>
        <w:pStyle w:val="Nivel01"/>
      </w:pPr>
      <w:bookmarkStart w:id="64" w:name="_Toc135469235"/>
      <w:r>
        <w:t>DA IMPUGNAÇÃO AO EDITAL E DO PEDIDO DE ESCLARECIMENTO</w:t>
      </w:r>
      <w:bookmarkEnd w:id="64"/>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5" w:name="_Toc135469236"/>
      <w:r>
        <w:t xml:space="preserve">DAS </w:t>
      </w:r>
      <w:r w:rsidRPr="00447F3E">
        <w:t>DISPOSIÇÕES</w:t>
      </w:r>
      <w:r>
        <w:t xml:space="preserve"> GERAIS</w:t>
      </w:r>
      <w:bookmarkEnd w:id="65"/>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lastRenderedPageBreak/>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 Termo de Referência</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II: ETP</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 xml:space="preserve">Anexo III -  Minuta da Ata </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A – Modelo de Proposta de Preços</w:t>
      </w:r>
    </w:p>
    <w:p w:rsidR="00FB28AD"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 xml:space="preserve">Anexo B – Dados Cadastrais </w:t>
      </w:r>
    </w:p>
    <w:p w:rsidR="00FB28AD" w:rsidRDefault="00FB28AD" w:rsidP="003E5B9E">
      <w:pPr>
        <w:spacing w:beforeLines="120" w:before="288" w:afterLines="120" w:after="288" w:line="312" w:lineRule="auto"/>
        <w:ind w:firstLine="567"/>
        <w:rPr>
          <w:rFonts w:ascii="Arial" w:eastAsiaTheme="minorEastAsia" w:hAnsi="Arial" w:cs="Arial"/>
          <w:color w:val="000000"/>
        </w:rPr>
      </w:pPr>
    </w:p>
    <w:p w:rsidR="009200C8" w:rsidRDefault="00735A25" w:rsidP="003E5B9E">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917AAE">
        <w:rPr>
          <w:rFonts w:ascii="Arial" w:eastAsia="MS Mincho" w:hAnsi="Arial" w:cs="Arial"/>
          <w:color w:val="000000"/>
        </w:rPr>
        <w:t>13 de setembro</w:t>
      </w:r>
      <w:r w:rsidR="00654192">
        <w:rPr>
          <w:rFonts w:ascii="Arial" w:eastAsia="MS Mincho" w:hAnsi="Arial" w:cs="Arial"/>
          <w:color w:val="000000"/>
        </w:rPr>
        <w:t xml:space="preserve"> </w:t>
      </w:r>
      <w:r w:rsidR="00431AF1">
        <w:rPr>
          <w:rFonts w:ascii="Arial" w:eastAsia="MS Mincho" w:hAnsi="Arial" w:cs="Arial"/>
          <w:color w:val="000000"/>
        </w:rPr>
        <w:t>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B1" w:rsidRDefault="006043B1">
      <w:r>
        <w:separator/>
      </w:r>
    </w:p>
  </w:endnote>
  <w:endnote w:type="continuationSeparator" w:id="0">
    <w:p w:rsidR="006043B1" w:rsidRDefault="006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6043B1" w:rsidRDefault="006043B1">
        <w:pPr>
          <w:pStyle w:val="Rodap"/>
          <w:jc w:val="right"/>
        </w:pPr>
        <w:r>
          <w:fldChar w:fldCharType="begin"/>
        </w:r>
        <w:r>
          <w:instrText>PAGE   \* MERGEFORMAT</w:instrText>
        </w:r>
        <w:r>
          <w:fldChar w:fldCharType="separate"/>
        </w:r>
        <w:r w:rsidR="00050D12">
          <w:rPr>
            <w:noProof/>
          </w:rPr>
          <w:t>1</w:t>
        </w:r>
        <w:r>
          <w:fldChar w:fldCharType="end"/>
        </w:r>
      </w:p>
    </w:sdtContent>
  </w:sdt>
  <w:p w:rsidR="006043B1" w:rsidRPr="00667738" w:rsidRDefault="006043B1"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6043B1" w:rsidRPr="00667738" w:rsidRDefault="006043B1"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6043B1" w:rsidRPr="00667738" w:rsidRDefault="006043B1"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B1" w:rsidRDefault="006043B1">
      <w:r>
        <w:separator/>
      </w:r>
    </w:p>
  </w:footnote>
  <w:footnote w:type="continuationSeparator" w:id="0">
    <w:p w:rsidR="006043B1" w:rsidRDefault="0060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1" w:rsidRPr="00BC72E5" w:rsidRDefault="006043B1"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905"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192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0D12"/>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1930"/>
    <w:rsid w:val="0017403A"/>
    <w:rsid w:val="0017493F"/>
    <w:rsid w:val="00177051"/>
    <w:rsid w:val="0019103E"/>
    <w:rsid w:val="001A21F5"/>
    <w:rsid w:val="001A60BA"/>
    <w:rsid w:val="001B5823"/>
    <w:rsid w:val="001B65F1"/>
    <w:rsid w:val="001C6833"/>
    <w:rsid w:val="001D5106"/>
    <w:rsid w:val="001D69A2"/>
    <w:rsid w:val="001D6F30"/>
    <w:rsid w:val="001F2107"/>
    <w:rsid w:val="001F3BC7"/>
    <w:rsid w:val="00206936"/>
    <w:rsid w:val="00211D14"/>
    <w:rsid w:val="00212CBE"/>
    <w:rsid w:val="00215913"/>
    <w:rsid w:val="0022151A"/>
    <w:rsid w:val="00225571"/>
    <w:rsid w:val="00227CC3"/>
    <w:rsid w:val="00230516"/>
    <w:rsid w:val="0023670F"/>
    <w:rsid w:val="00236DA3"/>
    <w:rsid w:val="00253797"/>
    <w:rsid w:val="00255916"/>
    <w:rsid w:val="00264D43"/>
    <w:rsid w:val="002679A2"/>
    <w:rsid w:val="0027254E"/>
    <w:rsid w:val="00276D6C"/>
    <w:rsid w:val="002770EF"/>
    <w:rsid w:val="00281739"/>
    <w:rsid w:val="0028263B"/>
    <w:rsid w:val="00282A90"/>
    <w:rsid w:val="00284836"/>
    <w:rsid w:val="00284CFE"/>
    <w:rsid w:val="00292901"/>
    <w:rsid w:val="002963C4"/>
    <w:rsid w:val="002A016E"/>
    <w:rsid w:val="002A76F3"/>
    <w:rsid w:val="002B1F89"/>
    <w:rsid w:val="002B353A"/>
    <w:rsid w:val="002C2B4A"/>
    <w:rsid w:val="002C4FB5"/>
    <w:rsid w:val="002D4A08"/>
    <w:rsid w:val="002D6BA3"/>
    <w:rsid w:val="002E241D"/>
    <w:rsid w:val="002E6B98"/>
    <w:rsid w:val="00305C77"/>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5B9E"/>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E66F5"/>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043B1"/>
    <w:rsid w:val="00614805"/>
    <w:rsid w:val="0061778C"/>
    <w:rsid w:val="00617FB6"/>
    <w:rsid w:val="006274DE"/>
    <w:rsid w:val="006322A9"/>
    <w:rsid w:val="00632D6D"/>
    <w:rsid w:val="00636F39"/>
    <w:rsid w:val="006416EA"/>
    <w:rsid w:val="00643700"/>
    <w:rsid w:val="006440DC"/>
    <w:rsid w:val="00644ECC"/>
    <w:rsid w:val="00654192"/>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0459"/>
    <w:rsid w:val="00762F38"/>
    <w:rsid w:val="007633FD"/>
    <w:rsid w:val="00774E70"/>
    <w:rsid w:val="00777767"/>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C6030"/>
    <w:rsid w:val="008D656D"/>
    <w:rsid w:val="008E2504"/>
    <w:rsid w:val="008F2701"/>
    <w:rsid w:val="00913838"/>
    <w:rsid w:val="0091403F"/>
    <w:rsid w:val="00914847"/>
    <w:rsid w:val="009153B5"/>
    <w:rsid w:val="00917AAE"/>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3167B"/>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20DB8"/>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CF17E5"/>
    <w:rsid w:val="00D126B7"/>
    <w:rsid w:val="00D15344"/>
    <w:rsid w:val="00D223C6"/>
    <w:rsid w:val="00D2470C"/>
    <w:rsid w:val="00D3105C"/>
    <w:rsid w:val="00D4253A"/>
    <w:rsid w:val="00D50511"/>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8A4"/>
    <w:rsid w:val="00EB1CC6"/>
    <w:rsid w:val="00EB3A7F"/>
    <w:rsid w:val="00EB4CC8"/>
    <w:rsid w:val="00EB7972"/>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A7887"/>
    <w:rsid w:val="00FB28AD"/>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D6E146C"/>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 w:type="paragraph" w:styleId="CabealhodoSumrio">
    <w:name w:val="TOC Heading"/>
    <w:basedOn w:val="Ttulo1"/>
    <w:next w:val="Normal"/>
    <w:uiPriority w:val="39"/>
    <w:semiHidden/>
    <w:unhideWhenUsed/>
    <w:qFormat/>
    <w:rsid w:val="00760459"/>
    <w:pPr>
      <w:keepLines/>
      <w:spacing w:before="240"/>
      <w:ind w:left="0"/>
      <w:outlineLvl w:val="9"/>
    </w:pPr>
    <w:rPr>
      <w:rFonts w:asciiTheme="majorHAnsi" w:eastAsiaTheme="majorEastAsia" w:hAnsiTheme="majorHAnsi" w:cstheme="majorBidi"/>
      <w:b w:val="0"/>
      <w:bCs w:val="0"/>
      <w:color w:val="365F91" w:themeColor="accent1" w:themeShade="BF"/>
      <w:kern w:val="0"/>
    </w:rPr>
  </w:style>
  <w:style w:type="character" w:styleId="Refdecomentrio">
    <w:name w:val="annotation reference"/>
    <w:basedOn w:val="Fontepargpadro"/>
    <w:unhideWhenUsed/>
    <w:rsid w:val="00253797"/>
    <w:rPr>
      <w:sz w:val="16"/>
      <w:szCs w:val="16"/>
    </w:rPr>
  </w:style>
  <w:style w:type="paragraph" w:styleId="Textodecomentrio">
    <w:name w:val="annotation text"/>
    <w:basedOn w:val="Normal"/>
    <w:link w:val="TextodecomentrioChar"/>
    <w:unhideWhenUsed/>
    <w:rsid w:val="00253797"/>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253797"/>
    <w:rPr>
      <w:rFonts w:ascii="Ecofont_Spranq_eco_Sans" w:eastAsiaTheme="minorEastAsia"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8D29-DAB3-4036-848D-20FFCAF5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10737</Words>
  <Characters>57982</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68582</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cp:revision>
  <cp:lastPrinted>2024-09-13T13:13:00Z</cp:lastPrinted>
  <dcterms:created xsi:type="dcterms:W3CDTF">2024-09-13T13:13:00Z</dcterms:created>
  <dcterms:modified xsi:type="dcterms:W3CDTF">2024-09-19T11:43:00Z</dcterms:modified>
</cp:coreProperties>
</file>